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430D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430DB" w:rsidRDefault="007B6DF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430DB" w:rsidRDefault="007B6DF1">
            <w:pPr>
              <w:spacing w:after="0" w:line="240" w:lineRule="auto"/>
            </w:pPr>
            <w:r>
              <w:t>50395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430DB" w:rsidRDefault="007B6DF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430DB" w:rsidRDefault="007B6DF1">
            <w:pPr>
              <w:spacing w:after="0" w:line="240" w:lineRule="auto"/>
            </w:pPr>
            <w:r>
              <w:t>KAZNIONICA U POŽEGI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430DB" w:rsidRDefault="007B6DF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430DB" w:rsidRDefault="007B6DF1">
            <w:pPr>
              <w:spacing w:after="0" w:line="240" w:lineRule="auto"/>
            </w:pPr>
            <w:r>
              <w:t>11</w:t>
            </w:r>
          </w:p>
        </w:tc>
      </w:tr>
    </w:tbl>
    <w:p w:rsidR="004430DB" w:rsidRDefault="007B6DF1">
      <w:r>
        <w:br/>
      </w:r>
    </w:p>
    <w:p w:rsidR="004430DB" w:rsidRDefault="007B6DF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430DB" w:rsidRDefault="007B6DF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430DB" w:rsidRDefault="007B6DF1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14.502.287,02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13.905.677,65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95,9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10.604.259,33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12.415.319,14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4430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3.903.205,28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1.426.713,38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36,6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3.677.913,20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2.155.718,36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58,6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4430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3.677.913,20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2.155.718,36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58,6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4430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4430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729.004,98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 xml:space="preserve">Ukupni prihodi poslovanja manji su za 4,1 % u odnosu na izvještajno razdoblje prethodne godine. Rezultat je to zbog manje evidentiranih prihoda za nabavu nefinancijske imovine koji su manji za 1.710.894,41 € u odnosu na prethodnu godinu, ali su isto tako </w:t>
      </w:r>
      <w:proofErr w:type="spellStart"/>
      <w:r>
        <w:t>e</w:t>
      </w:r>
      <w:r>
        <w:t>videnitani</w:t>
      </w:r>
      <w:proofErr w:type="spellEnd"/>
      <w:r>
        <w:t xml:space="preserve"> veći prihodi za financiranje redovnog poslovanja u iznosu 1.009.193,94 €. Veći prihodi za financiranje rashoda poslovanja evidentirani su ponajviše zbog prihoda po osnovi plaća za zaposlene koje su znatno povećane u razdoblju od ožujka 2024. stu</w:t>
      </w:r>
      <w:r>
        <w:t xml:space="preserve">panjem nove Uredbe o </w:t>
      </w:r>
      <w:r>
        <w:lastRenderedPageBreak/>
        <w:t>nazivima radnih mjesta, uvjetima za raspored i koeficijentima za obračun plaće u državnoj službi kao i novih zapošljavanja službenika. </w:t>
      </w:r>
    </w:p>
    <w:p w:rsidR="004430DB" w:rsidRDefault="007B6DF1">
      <w:r>
        <w:t>Ukupni rashodi poslovanja veći su za 17,1% u odnosu na isto razdoblje prethodne godine, najvećim di</w:t>
      </w:r>
      <w:r>
        <w:t>jelom zbog plaća koji su priznati kao trošak u razdoblju 12/2025, a dospijevaju u 01/2026, odnosno zbog ukidanja kontinuiranih rashoda budućih razdoblja zbog čega na godišnjem izvještaju imamo 13 mjesečnih rashoda plaća i naknada za prijevoz, a istovremeno</w:t>
      </w:r>
      <w:r>
        <w:t xml:space="preserve"> 12 mjesečnih prihoda te zbog povećanja cijena materijala, sirovina, energenata i usluga.  </w:t>
      </w:r>
    </w:p>
    <w:p w:rsidR="004430DB" w:rsidRDefault="007B6DF1">
      <w:r>
        <w:t>Višak prihoda poslovanja rezultat su više doznačenih sredstava iz državnog proračuna čime je financirana nabava nefinancijske imovine te zbog više ostvarenih prihod</w:t>
      </w:r>
      <w:r>
        <w:t>a od prodaje roba i proizvoda.  Manjak prihoda od nefinancijske imovine iznosi 2.155.718,36 €, razlog je što je nabava imovine financirana iz prihoda poslovanja, obzirom da nema prihoda od prodaje nefinancijske imovine. Napravljena je korekcija rezultata č</w:t>
      </w:r>
      <w:r>
        <w:t>ime se manjak prihoda od nefinancijske imovine umanjio za prihode iz nadležnog proračuna za financiranje rashoda za nabavu nefinancijske imovine i primljene donacije u iznosu 1.966.907,59 €.</w:t>
      </w:r>
    </w:p>
    <w:p w:rsidR="004430DB" w:rsidRDefault="007B6DF1">
      <w:r>
        <w:t>Manjak prihoda i primitaka temeljem svega navedenog iznosi 729.00</w:t>
      </w:r>
      <w:r>
        <w:t>4,98 €.</w:t>
      </w:r>
    </w:p>
    <w:p w:rsidR="004430DB" w:rsidRDefault="007B6DF1">
      <w:r>
        <w:br/>
      </w:r>
    </w:p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Evidentirani su prihodi temeljem potpore koju je doznačio Fond za zaštitu okoliša i energetsku učinkovitost, a temeljem Javnog poziv za sufinanciranje nabave uređaja za sprječavanje nastanka biootpada (otpada od hrane) u kaznenim tijelima zatvorskog sustav</w:t>
      </w:r>
      <w:r>
        <w:t>a Ministarstva pravosuđa i uprave RH (JP EU-1/2024)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proračunskim </w:t>
            </w:r>
            <w:r>
              <w:rPr>
                <w:sz w:val="18"/>
              </w:rPr>
              <w:t>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34.959,00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Evidentirani su prihodi od Grada Požege u iznosu 34.959,00 €, a temeljem elementarne nepogode (suša).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114.260,85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79.758,15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69,8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Ukupno iznose 79.758,15 €, a odnose se na namjenska sredstva koja je doznačila Agencija za plaćanje u poljoprivredi, ribarstvu i ruralnom razvoju za poticaje u poljoprivredi i stočarstvu.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150,8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Navedeni prihodi u ukupnom iznosu od 48,42€ ostvareni su s osnova naplaćenih kamata na depozite po viđenju.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15.307,34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15.164,76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99,1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Evidentirani su prihodi s osnove sufinanciranja troškova sprovođenja zatvorenika i kopiranja za zatvorenike i iznose 2.817,16€ te namjenski prihodi po osnovi štete od osiguranja u iznosu od 12.347,60 €.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854.831,76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971.519,97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Prihodi od prodaje proizvoda i robe te pruženih usluga odnose se na prihode koje je Kaznionica ostvarila temeljem  radionica koje su ustrojene u sklopu Kaznionice. Prihodi od prodaje proizvoda i robe odnose se na poljoprivredne proizvode (stoka, usjevi), p</w:t>
      </w:r>
      <w:r>
        <w:t xml:space="preserve">roizvode krojačke radionice i metalske radionice. Prihodi od pruženih usluga odnose se na usluge koje Kaznionica ima također u sklopu radionica, a to su radionica ugostiteljstva, radionica </w:t>
      </w:r>
      <w:r>
        <w:lastRenderedPageBreak/>
        <w:t>održavanja (uslužno pranje posteljine), radionica slobodnih aktivno</w:t>
      </w:r>
      <w:r>
        <w:t>sti. Prihodi su povećani u odnosu na prethodnu godinu zbog porasta prodaje te rasta cijena prodanih proizvoda.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Iznos od 2.500,84 € odnosi se na donaciju Udruge RODA temeljem projekta "Budi blizu - izazovi obiteljske povezanosti u zatvorskom okruženju" koje financira Ministarstvo pravosuđa, uprave i digitalne transformacije.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21,3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Navedeni prihodi u ukupnom iznosu od 1.093,30 € ostvareni su temeljem naknada za vodu za zajedničko brojilo, naknade za počinjenu štetu od strane zatvorenika i prodaje ambalaže.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21,3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Navedeni prihodi u ukupnom iznosu od 1.093,30 € ostvareni su temeljem naknada za vodu za zajedničko brojilo, naknade za počinjenu štetu od strane zatvorenika i prodaje ambalaže.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7.678.931,36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9.250.361,67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 xml:space="preserve">Rashodi za zaposlene iznose 9.250.361,67 € i veći su za 20,1 % u odnosu na izvještajno razdoblje prethodne godine, a do povećanja je došlo uslijed zapošljavanja službenika, </w:t>
      </w:r>
      <w:r>
        <w:lastRenderedPageBreak/>
        <w:t>obračuna minulog rada za svakog službenika tijekom izvještajnog razdoblja koji se p</w:t>
      </w:r>
      <w:r>
        <w:t>ovećava za 0,5 % navršavanjem pune godine radnog staža, rastom plaća temeljem nove Uredbe kao i povećanjem prekovremenih sati. Također, plaće su veće jer se novim Pravilnikom o proračunskom računovodstvu i računskom planu ukinula podskupina 193 – Kontinuir</w:t>
      </w:r>
      <w:r>
        <w:t>ani rashodi i isti su se prenijeli na odgovarajuće račune razreda 3 Rashodi. Time je u navedenom razdoblju evidentirano 13 troškova plaće za zaposlene, dok je u promatranom razdoblju prethodne godine evidentirano 12 troškova.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2.897.647,13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3.155.543,78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Materijalni rashodi veći su za  8,9 %  i ukupno iznose 3.155.543,78 €. Najveća odstupanje u odnosu na izvještajno razdoblje prethodne godine su na kontu naknade prijevoza, za rad na terenu i odvojeni život, materijala i sirovina jer je došlo do povećanja b</w:t>
      </w:r>
      <w:r>
        <w:t>rojnog stanja zatvorenica i zatvorenika.  Na kontu energije i komunalnih usluga evidentan je porast rashoda u tekućem izvještajnom razdoblju zbog ukidanja podskupine 193. Na kontu zdravstvenih usluga odstupanje je zbog obavljenih sistematskih pregleda služ</w:t>
      </w:r>
      <w:r>
        <w:t>benika i namještenika temeljem kolektivnog ugovora.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Bankarske usluge i usluge platnog </w:t>
            </w:r>
            <w:r>
              <w:rPr>
                <w:sz w:val="18"/>
              </w:rPr>
              <w:t>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6.192,56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149,3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Veći su za 49,30 % u odnosu na iskazane u izvještajnom razdoblju prethodne godine. Isti se odnose na obračunate iznose platnoga prometa za redovno poslovanje i ovise o visini priljeva i odljeva novca po transakcijskim računima, broju provedenih platnih nal</w:t>
      </w:r>
      <w:r>
        <w:t>oga te o cjeniku  naknada  za bankarske usluge. 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Izrada ograde u iznosu 12.550,00 €.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61.440,49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35.532,11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57,8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Pisači u iznosu 3.378,05 € i stolovi, stolice ormari, kreveti, čajne kuhinje, police u iznosu 32.154,06 €.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51.477,72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6.893,84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13,4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Nabava televizora i mobitela.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16.239,50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3965,7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Nabava klima uređaja u iznosu 15.517,50 € i usisavača u iznosu722,00 €.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100.287,80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27.771,30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27,7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Odnosi se na nabavu meteorološke stanice, visokotlačnog perača, parnog čistača, perilice i kosilice.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808.471,82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117.350,60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14,5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 xml:space="preserve">Iznos od 117.350,60 € odnosi se na nabavu mikrovalne, indukcijske ploče, pumpe za nečistu vodu, uređaja za </w:t>
      </w:r>
      <w:proofErr w:type="spellStart"/>
      <w:r>
        <w:t>biootpad</w:t>
      </w:r>
      <w:proofErr w:type="spellEnd"/>
      <w:r>
        <w:t xml:space="preserve"> (digestor), prskalice, termometar, kolica za </w:t>
      </w:r>
      <w:proofErr w:type="spellStart"/>
      <w:r>
        <w:t>kipanje</w:t>
      </w:r>
      <w:proofErr w:type="spellEnd"/>
      <w:r>
        <w:t xml:space="preserve">, kuhinjska vaga, </w:t>
      </w:r>
      <w:proofErr w:type="spellStart"/>
      <w:r>
        <w:t>elektro</w:t>
      </w:r>
      <w:proofErr w:type="spellEnd"/>
      <w:r>
        <w:t xml:space="preserve"> parno glačalo, hladnjak i grijalice, </w:t>
      </w:r>
      <w:proofErr w:type="spellStart"/>
      <w:r>
        <w:t>elektroparnog</w:t>
      </w:r>
      <w:proofErr w:type="spellEnd"/>
      <w:r>
        <w:t xml:space="preserve"> kotla, parn</w:t>
      </w:r>
      <w:r>
        <w:t xml:space="preserve">e postaje, kompresora, dizalice, invalidskih kolica, </w:t>
      </w:r>
      <w:proofErr w:type="spellStart"/>
      <w:r>
        <w:t>puhalnika</w:t>
      </w:r>
      <w:proofErr w:type="spellEnd"/>
      <w:r>
        <w:t xml:space="preserve">, pokretnih ljestava, sefa elektronskog, sajle, probijača, hladnjaka, ručnog alata za razvaljivanje, ledomata, perilice, </w:t>
      </w:r>
      <w:proofErr w:type="spellStart"/>
      <w:r>
        <w:t>elektroparnog</w:t>
      </w:r>
      <w:proofErr w:type="spellEnd"/>
      <w:r>
        <w:t xml:space="preserve"> glačala, </w:t>
      </w:r>
      <w:proofErr w:type="spellStart"/>
      <w:r>
        <w:t>al</w:t>
      </w:r>
      <w:proofErr w:type="spellEnd"/>
      <w:r>
        <w:t>. ljestava, pile za rasijecanje, ručnog viličara</w:t>
      </w:r>
      <w:r>
        <w:t xml:space="preserve">, </w:t>
      </w:r>
      <w:proofErr w:type="spellStart"/>
      <w:r>
        <w:t>štapnog</w:t>
      </w:r>
      <w:proofErr w:type="spellEnd"/>
      <w:r>
        <w:t xml:space="preserve"> </w:t>
      </w:r>
      <w:proofErr w:type="spellStart"/>
      <w:r>
        <w:t>miksera,blanje</w:t>
      </w:r>
      <w:proofErr w:type="spellEnd"/>
      <w:r>
        <w:t xml:space="preserve"> za stolariju te termos lonaca.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Prijevozna sredstva u </w:t>
            </w:r>
            <w:r>
              <w:rPr>
                <w:sz w:val="18"/>
              </w:rPr>
              <w:t>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191.604,06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64.508,30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33,7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 xml:space="preserve">Iznos od 55.460,00 € odnosi se na nabavu traktora, 1.898,00 € za nabavu </w:t>
      </w:r>
      <w:proofErr w:type="spellStart"/>
      <w:r>
        <w:t>autoprikolice</w:t>
      </w:r>
      <w:proofErr w:type="spellEnd"/>
      <w:r>
        <w:t>, 950,30 € za nabavu bicikala te 6.200,00 € za nabavu prikolice za traktor.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stado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133,1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Iznos od 2.795,24 € odnosi se na nabavu ovnova (2 kom) i nerasta (5 kom).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2.455.980,06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1.872.077,47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76,2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 xml:space="preserve">Najveći troškovi odnose se na adaptaciju zgrade klaonice u iznosu 326.932,60 € te na adaptaciju zgrade poluotvorenog odjela za zatvorenice u iznosu od 569.617,75 €, izmjeni krovišta na štali za ovce u iznosu 281.589,92 €, adaptacija </w:t>
      </w:r>
      <w:proofErr w:type="spellStart"/>
      <w:r>
        <w:t>prasilišta</w:t>
      </w:r>
      <w:proofErr w:type="spellEnd"/>
      <w:r>
        <w:t xml:space="preserve"> u iznosu 62.</w:t>
      </w:r>
      <w:r>
        <w:t xml:space="preserve">483,84 €, radovi zamjene stolarije na objektu za tov svinja u iznosu od 44.695,21 €, zamjene krovišta na </w:t>
      </w:r>
      <w:r>
        <w:lastRenderedPageBreak/>
        <w:t xml:space="preserve">poljoprivrednom skladištu u iznosu 76.921,25 €, izmjenu krovišta na objektu za tov svinja u iznosu 76.700,25 €, radovi na rušenju dijela zgrade bivšeg </w:t>
      </w:r>
      <w:r>
        <w:t>pogona "Orljava" u iznosu 80.643,75 €, izrada toplinske izolacije na vanjskim zidovima zgrade uprave Česma u iznosu 77.617,11 €. Od ostalih dodatnih ulaganja bila zamjena stolarije na vikendici u Velikoj, dobava i montaža rolo vrata, zamjena limarije na ob</w:t>
      </w:r>
      <w:r>
        <w:t>jektu pecala te izrada elektroinstalacija u prostoru arhive, stručni nadzori te projektne dokumentacije, dobava i ugradnja krovnih panela na hangaru, izmjene stolarije na objektu štale.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</w:t>
            </w: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8.111,10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227,3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Iznos povećanja proizvedene dugotrajne  imovine u iznosu od 3.568,10 odnosi se  na:</w:t>
      </w:r>
    </w:p>
    <w:p w:rsidR="004430DB" w:rsidRDefault="007B6DF1">
      <w:r>
        <w:t xml:space="preserve">-       Odluka od 10. veljače 2025. godine, Klasa: 650-01/25-01/04, </w:t>
      </w:r>
      <w:proofErr w:type="spellStart"/>
      <w:r>
        <w:t>Urbroj</w:t>
      </w:r>
      <w:proofErr w:type="spellEnd"/>
      <w:r>
        <w:t xml:space="preserve"> : 514-02-04-01/03-25-02 kojom se Kaznionici u Požegi od strane Ministarstva pravosuđa, uprave i digitalne transformacije prenosi bez naknade uvećana vrijednost za radove montaže KO </w:t>
      </w:r>
      <w:r>
        <w:t>i LAN opreme vrijednosti 1.890,90 € s PDV-om.</w:t>
      </w:r>
    </w:p>
    <w:p w:rsidR="004430DB" w:rsidRDefault="007B6DF1">
      <w:r>
        <w:t xml:space="preserve">-       Odluka od 16. travnja 2025. godine, Klasa: 650-01/25-01/05, </w:t>
      </w:r>
      <w:proofErr w:type="spellStart"/>
      <w:r>
        <w:t>Urbroj</w:t>
      </w:r>
      <w:proofErr w:type="spellEnd"/>
      <w:r>
        <w:t xml:space="preserve"> : 514-02-04-01/04-25-01 kojom se Kaznionici u Požegi od strane Ministarstva pravosuđa, uprave i digitalne transformacije prenosi bez na</w:t>
      </w:r>
      <w:r>
        <w:t xml:space="preserve">knade 2 kom. mrežnih preklopnika Cisco </w:t>
      </w:r>
      <w:proofErr w:type="spellStart"/>
      <w:r>
        <w:t>Catalyst</w:t>
      </w:r>
      <w:proofErr w:type="spellEnd"/>
      <w:r>
        <w:t xml:space="preserve"> 1300-24 </w:t>
      </w:r>
      <w:proofErr w:type="spellStart"/>
      <w:r>
        <w:t>port</w:t>
      </w:r>
      <w:proofErr w:type="spellEnd"/>
      <w:r>
        <w:t xml:space="preserve">  ukupne vrijednosti 1.677,20 € s PDV-om.</w:t>
      </w:r>
    </w:p>
    <w:p w:rsidR="004430DB" w:rsidRDefault="007B6DF1">
      <w:r>
        <w:t> </w:t>
      </w:r>
    </w:p>
    <w:p w:rsidR="004430DB" w:rsidRDefault="007B6DF1">
      <w:r>
        <w:t>Smanjenje u iznosu 8.111,10 € odnosi se na rashode osnovnih sredstava koji su imali vrijednost, a to su: uredska stolica 3 komada, spremnik Bosch te plu</w:t>
      </w:r>
      <w:r>
        <w:t>g (ustupanje Zatvoru u Gospiću), puške i pištolji na temelju Odluke ustupili Zatvoru u Požegi. </w:t>
      </w:r>
    </w:p>
    <w:p w:rsidR="004430DB" w:rsidRDefault="007B6DF1">
      <w:r>
        <w:t xml:space="preserve">-       Suglasnost od 25. ožujka 2025. godine, Klasa: 406-05/25-01/64, </w:t>
      </w:r>
      <w:proofErr w:type="spellStart"/>
      <w:r>
        <w:t>Urbroj</w:t>
      </w:r>
      <w:proofErr w:type="spellEnd"/>
      <w:r>
        <w:t>: 514-10-03-02-02/02-25-04 kojom se daje suglasnost Kaznionici u Požegi za ustupanj</w:t>
      </w:r>
      <w:r>
        <w:t xml:space="preserve">e pluga </w:t>
      </w:r>
      <w:proofErr w:type="spellStart"/>
      <w:r>
        <w:t>Rabewerk</w:t>
      </w:r>
      <w:proofErr w:type="spellEnd"/>
      <w:r>
        <w:t xml:space="preserve"> sadašnje vrijednosti 164,57 € Zatvoru u Gospiću. </w:t>
      </w:r>
    </w:p>
    <w:p w:rsidR="004430DB" w:rsidRDefault="007B6DF1">
      <w:r>
        <w:t xml:space="preserve">-       Odluka od 1. listopada 2025. godine, Klasa: 213-01/25-01/54, </w:t>
      </w:r>
      <w:proofErr w:type="spellStart"/>
      <w:r>
        <w:t>Urbroj</w:t>
      </w:r>
      <w:proofErr w:type="spellEnd"/>
      <w:r>
        <w:t>: 514-10-03-05-01/04-25-03 kojom se upućuje Kaznionici u Požegi da ustupi na trajno zaduženje, bez naknade Zatvoru</w:t>
      </w:r>
      <w:r>
        <w:t xml:space="preserve"> u Požegi 6 komada pištolja ukupne sadašnje vrijednosti 2965,74 €.</w:t>
      </w:r>
    </w:p>
    <w:p w:rsidR="004430DB" w:rsidRDefault="007B6DF1">
      <w:r>
        <w:t xml:space="preserve">-       Odluka od 15. listopada 2025. godine, Klasa: 213-01/25-01/54, </w:t>
      </w:r>
      <w:proofErr w:type="spellStart"/>
      <w:r>
        <w:t>Urbroj</w:t>
      </w:r>
      <w:proofErr w:type="spellEnd"/>
      <w:r>
        <w:t>: 514-10-03-05-01/04-25-04 kojom se upućuje Kaznionici u Požegi da ustupi na trajno zaduženje, bez naknade Zatvor</w:t>
      </w:r>
      <w:r>
        <w:t>u u Požegi 3 komada jurišnih puški  ukupne sadašnje vrijednosti 4902,18 €. 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162.594,23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11.665,65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7,2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Iznos povećanja proizvedene dugotrajne  imovine u iznosu od 162,594,23 € odnosi se na prijevode i priraste stoke te na:</w:t>
      </w:r>
    </w:p>
    <w:p w:rsidR="004430DB" w:rsidRDefault="007B6DF1">
      <w:r>
        <w:t> </w:t>
      </w:r>
    </w:p>
    <w:p w:rsidR="004430DB" w:rsidRDefault="007B6DF1">
      <w:r>
        <w:t xml:space="preserve">-       Odluka od 27. siječnja 2025. godine, Klasa: 406-02/24-02/604, </w:t>
      </w:r>
      <w:proofErr w:type="spellStart"/>
      <w:r>
        <w:t>Urbroj</w:t>
      </w:r>
      <w:proofErr w:type="spellEnd"/>
      <w:r>
        <w:t xml:space="preserve"> : 514-10-08-02-03/01-25-05 kojom se Kaznionici u Požegi o</w:t>
      </w:r>
      <w:r>
        <w:t>d strane Ministarstva pravosuđa, uprave i digitalne transformacije ( Centar za izobrazbu) prenosi bez naknade vrijednost 17 školskih klupa i 40 školskih stolica ukupne vrijednosti 4.302,44 € s PDV-om.</w:t>
      </w:r>
    </w:p>
    <w:p w:rsidR="004430DB" w:rsidRDefault="007B6DF1">
      <w:r>
        <w:t>-       Odluka od 29. rujna 2025. godine, Klasa: 406-05</w:t>
      </w:r>
      <w:r>
        <w:t xml:space="preserve">/25-01/85, </w:t>
      </w:r>
      <w:proofErr w:type="spellStart"/>
      <w:r>
        <w:t>Urbroj</w:t>
      </w:r>
      <w:proofErr w:type="spellEnd"/>
      <w:r>
        <w:t xml:space="preserve"> : 514-10-03-02-02/05-25-11 kojom se Kaznionici u Požegi od strane Ministarstva pravosuđa, uprave i digitalne transformacije prenosi bez naknade vrijednost službenog vozila za prijevoz osoba lišenih slobode – karavan Opel </w:t>
      </w:r>
      <w:proofErr w:type="spellStart"/>
      <w:r>
        <w:t>Astra</w:t>
      </w:r>
      <w:proofErr w:type="spellEnd"/>
      <w:r>
        <w:t xml:space="preserve"> </w:t>
      </w:r>
      <w:proofErr w:type="spellStart"/>
      <w:r>
        <w:t>tourer</w:t>
      </w:r>
      <w:proofErr w:type="spellEnd"/>
      <w:r>
        <w:t xml:space="preserve"> </w:t>
      </w:r>
      <w:proofErr w:type="spellStart"/>
      <w:r>
        <w:t>Edit</w:t>
      </w:r>
      <w:r>
        <w:t>ion</w:t>
      </w:r>
      <w:proofErr w:type="spellEnd"/>
      <w:r>
        <w:t xml:space="preserve"> ukupne vrijednosti 32.612,99 € s PDV-om.</w:t>
      </w:r>
    </w:p>
    <w:p w:rsidR="004430DB" w:rsidRDefault="007B6DF1">
      <w:r>
        <w:t xml:space="preserve">-       Odluka od 31. listopada 2025. godine, Klasa: 406-05/25-01/85, </w:t>
      </w:r>
      <w:proofErr w:type="spellStart"/>
      <w:r>
        <w:t>Urbroj</w:t>
      </w:r>
      <w:proofErr w:type="spellEnd"/>
      <w:r>
        <w:t xml:space="preserve"> : 514-10-03-02-02/05-25-17 kojom se Kaznionici u Požegi od strane Ministarstva pravosuđa, uprave i digitalne transformacije prenosi be</w:t>
      </w:r>
      <w:r>
        <w:t xml:space="preserve">z naknade vrijednost </w:t>
      </w:r>
      <w:proofErr w:type="spellStart"/>
      <w:r>
        <w:t>drona</w:t>
      </w:r>
      <w:proofErr w:type="spellEnd"/>
      <w:r>
        <w:t xml:space="preserve"> ukupne vrijednosti 11.562,50 € s PDV-om.</w:t>
      </w:r>
    </w:p>
    <w:p w:rsidR="004430DB" w:rsidRDefault="007B6DF1">
      <w:r>
        <w:t xml:space="preserve">-       Odluka od 21.studenog 2025. godine, Klasa: 406-05/25-01/85, </w:t>
      </w:r>
      <w:proofErr w:type="spellStart"/>
      <w:r>
        <w:t>Urbroj</w:t>
      </w:r>
      <w:proofErr w:type="spellEnd"/>
      <w:r>
        <w:t xml:space="preserve"> : 514-10-03-02-02/05-25-32 kojom se Kaznionici u Požegi od strane Ministarstva pravosuđa, uprave i digitalne tran</w:t>
      </w:r>
      <w:r>
        <w:t xml:space="preserve">sformacije prenosi bez naknade vrijednost 3 svjetiljke </w:t>
      </w:r>
      <w:proofErr w:type="spellStart"/>
      <w:r>
        <w:t>makita</w:t>
      </w:r>
      <w:proofErr w:type="spellEnd"/>
      <w:r>
        <w:t xml:space="preserve"> led s akumulatorom i punjačem  ukupne vrijednosti 1.602,06 € s PDV-om.</w:t>
      </w:r>
    </w:p>
    <w:p w:rsidR="004430DB" w:rsidRDefault="007B6DF1">
      <w:r>
        <w:t xml:space="preserve">-       Odluka od 12. prosinca 2025. godine, Klasa: 406-05/25-01/85, </w:t>
      </w:r>
      <w:proofErr w:type="spellStart"/>
      <w:r>
        <w:t>Urbroj</w:t>
      </w:r>
      <w:proofErr w:type="spellEnd"/>
      <w:r>
        <w:t xml:space="preserve"> : 514-10-03-02-02/05-25-43 kojom se Kaznionici </w:t>
      </w:r>
      <w:r>
        <w:t>u Požegi od strane Ministarstva pravosuđa, uprave i digitalne transformacije prenosi bez naknade vrijednost 3 uređaja za detekciju mobilnih uređaja ukupne vrijednosti 11.860,75 € s PDV-om.</w:t>
      </w:r>
    </w:p>
    <w:p w:rsidR="004430DB" w:rsidRDefault="007B6DF1">
      <w:r>
        <w:t>-       Odluka od 12. prosinca 2025. godine, Klasa: 650-01/25-01/05</w:t>
      </w:r>
      <w:r>
        <w:t xml:space="preserve">, </w:t>
      </w:r>
      <w:proofErr w:type="spellStart"/>
      <w:r>
        <w:t>Urbroj</w:t>
      </w:r>
      <w:proofErr w:type="spellEnd"/>
      <w:r>
        <w:t xml:space="preserve"> : 514-02-04-01/04-25-154 kojom se Kaznionici u Požegi od strane Ministarstva pravosuđa, uprave i digitalne transformacije prenosi bez naknade vrijednost 43 računala Dell Pro 24 All-In-One ukupne vrijednosti 49.798,84 € s PDV-om. </w:t>
      </w:r>
    </w:p>
    <w:p w:rsidR="004430DB" w:rsidRDefault="007B6DF1">
      <w:r>
        <w:t>-       Odluka od</w:t>
      </w:r>
      <w:r>
        <w:t xml:space="preserve"> 19. siječnja 2026. godine, Klasa: 406-05/25-01/85, </w:t>
      </w:r>
      <w:proofErr w:type="spellStart"/>
      <w:r>
        <w:t>Urbroj</w:t>
      </w:r>
      <w:proofErr w:type="spellEnd"/>
      <w:r>
        <w:t xml:space="preserve"> : 514-10-03-02-02/05-26-54 kojom se Kaznionici u Požegi od strane Ministarstva pravosuđa, uprave i digitalne transformacije prenosi bez naknade vrijednost kompleta za nošenje oružja ukupne vrijedno</w:t>
      </w:r>
      <w:r>
        <w:t>sti 7.221,13 € s PDV-om.</w:t>
      </w:r>
    </w:p>
    <w:p w:rsidR="004430DB" w:rsidRDefault="007B6DF1">
      <w:r>
        <w:t>Iznos smanjenja u obujmu nefinancijske imovine od 11.665,65 € odnosi se na uginuća i prijevode stoke.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4430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Kaznionica u Požegi nije imala dospjelih obveza sa danom 31.12.2025.</w:t>
      </w:r>
    </w:p>
    <w:p w:rsidR="004430DB" w:rsidRDefault="004430DB"/>
    <w:p w:rsidR="004430DB" w:rsidRDefault="007B6DF1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430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30D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4430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</w:t>
            </w:r>
            <w:r>
              <w:rPr>
                <w:sz w:val="18"/>
              </w:rPr>
              <w:t>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1.103.295,36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430DB" w:rsidRDefault="007B6D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430DB" w:rsidRDefault="004430DB">
      <w:pPr>
        <w:spacing w:after="0"/>
      </w:pPr>
    </w:p>
    <w:p w:rsidR="004430DB" w:rsidRDefault="007B6DF1">
      <w:r>
        <w:t>Nedospjele obveze odnose se na:  - međusobne obveze subjekta općeg proračuna (bolovanja na teret HZZO-a u iznosu od 3.262,30 €  - obveze za rashode za zaposlene (plaća za 12/2025) u iznosu od 705.295,23 €  - obveze za materijalne rashode u iznosu od 258.27</w:t>
      </w:r>
      <w:r>
        <w:t>4,37 €  - obveze za porez na dodanu vrijednost i ostale tekuće obveze u iznosu 6.104,00 € - obveze za nabavu nefinancijske imovine u iznosu od 65.782,44 € - obveze za  jamčevine i obveze za povrat u DP (KOPP) u iznosu od 63.881,85 €.</w:t>
      </w:r>
    </w:p>
    <w:p w:rsidR="004430DB" w:rsidRDefault="004430DB"/>
    <w:p w:rsidR="007B6DF1" w:rsidRDefault="007B6DF1"/>
    <w:p w:rsidR="007B6DF1" w:rsidRDefault="007B6DF1" w:rsidP="007B6DF1">
      <w:pPr>
        <w:spacing w:after="120"/>
        <w:jc w:val="both"/>
        <w:rPr>
          <w:b/>
          <w:szCs w:val="24"/>
        </w:rPr>
      </w:pPr>
      <w:r w:rsidRPr="00DE0B02">
        <w:rPr>
          <w:szCs w:val="24"/>
        </w:rPr>
        <w:t xml:space="preserve">Mjesto i datum: </w:t>
      </w:r>
      <w:r>
        <w:rPr>
          <w:szCs w:val="24"/>
        </w:rPr>
        <w:t>04.02</w:t>
      </w:r>
      <w:bookmarkStart w:id="0" w:name="_GoBack"/>
      <w:bookmarkEnd w:id="0"/>
      <w:r w:rsidRPr="00DE0B02">
        <w:rPr>
          <w:szCs w:val="24"/>
        </w:rPr>
        <w:t>.202</w:t>
      </w:r>
      <w:r>
        <w:rPr>
          <w:szCs w:val="24"/>
        </w:rPr>
        <w:t>6</w:t>
      </w:r>
      <w:r w:rsidRPr="00DE0B02"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</w:t>
      </w:r>
      <w:r w:rsidRPr="00DE0B02">
        <w:rPr>
          <w:b/>
          <w:szCs w:val="24"/>
        </w:rPr>
        <w:t>UPRAVITEL</w:t>
      </w:r>
      <w:r>
        <w:rPr>
          <w:b/>
          <w:szCs w:val="24"/>
        </w:rPr>
        <w:t>J</w:t>
      </w:r>
      <w:r w:rsidRPr="00DE0B02">
        <w:rPr>
          <w:b/>
          <w:szCs w:val="24"/>
        </w:rPr>
        <w:t>:</w:t>
      </w:r>
    </w:p>
    <w:p w:rsidR="007B6DF1" w:rsidRDefault="007B6DF1" w:rsidP="007B6DF1">
      <w:r>
        <w:rPr>
          <w:szCs w:val="24"/>
        </w:rPr>
        <w:t>Voditelj računovodstva:</w:t>
      </w:r>
      <w:r w:rsidRPr="00DE0B02">
        <w:rPr>
          <w:szCs w:val="24"/>
        </w:rPr>
        <w:t xml:space="preserve"> DOMINKO  VIDOVIĆ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Zvonimir Leopoldović</w:t>
      </w:r>
    </w:p>
    <w:sectPr w:rsidR="007B6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DB"/>
    <w:rsid w:val="004430DB"/>
    <w:rsid w:val="006E2F03"/>
    <w:rsid w:val="007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5AE0"/>
  <w15:docId w15:val="{ADBB7179-D46B-4DD8-B0DF-2A2EEBDE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2908</Words>
  <Characters>16576</Characters>
  <Application>Microsoft Office Word</Application>
  <DocSecurity>0</DocSecurity>
  <Lines>138</Lines>
  <Paragraphs>38</Paragraphs>
  <ScaleCrop>false</ScaleCrop>
  <Company>MPU</Company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Dominko Vidović</dc:creator>
  <cp:lastModifiedBy>Dominko Vidović</cp:lastModifiedBy>
  <cp:revision>3</cp:revision>
  <dcterms:created xsi:type="dcterms:W3CDTF">2026-02-04T11:53:00Z</dcterms:created>
  <dcterms:modified xsi:type="dcterms:W3CDTF">2026-02-04T11:56:00Z</dcterms:modified>
</cp:coreProperties>
</file>